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B0E" w:rsidRDefault="00516B0E" w:rsidP="00516B0E">
      <w:pPr>
        <w:pStyle w:val="NormalWeb"/>
        <w:rPr>
          <w:rFonts w:ascii="Calibri" w:hAnsi="Calibri" w:cs="Segoe UI"/>
          <w:color w:val="000000"/>
          <w:sz w:val="14"/>
          <w:szCs w:val="14"/>
        </w:rPr>
      </w:pPr>
      <w:r>
        <w:rPr>
          <w:rStyle w:val="Gl"/>
          <w:rFonts w:ascii="Arial" w:hAnsi="Arial" w:cs="Arial"/>
          <w:color w:val="000000"/>
          <w:sz w:val="17"/>
          <w:szCs w:val="17"/>
        </w:rPr>
        <w:t xml:space="preserve">Sanayi Tezleri (SAN-TEZ) Projelerini Destekleme Usul ve Esasları Hakkında Yönetmelik </w:t>
      </w:r>
    </w:p>
    <w:p w:rsidR="00516B0E" w:rsidRDefault="00516B0E" w:rsidP="00516B0E">
      <w:pPr>
        <w:pStyle w:val="NormalWeb"/>
        <w:rPr>
          <w:rFonts w:ascii="Calibri" w:hAnsi="Calibri" w:cs="Segoe UI"/>
          <w:color w:val="000000"/>
          <w:sz w:val="14"/>
          <w:szCs w:val="14"/>
        </w:rPr>
      </w:pPr>
      <w:r>
        <w:rPr>
          <w:rFonts w:ascii="Arial" w:hAnsi="Arial" w:cs="Arial"/>
          <w:color w:val="333333"/>
          <w:sz w:val="17"/>
          <w:szCs w:val="17"/>
        </w:rPr>
        <w:t xml:space="preserve">Teknik ve Mali Kılavuz için </w:t>
      </w:r>
      <w:hyperlink r:id="rId4" w:history="1">
        <w:r>
          <w:rPr>
            <w:rStyle w:val="Kpr"/>
            <w:rFonts w:ascii="Arial" w:hAnsi="Arial" w:cs="Arial"/>
            <w:color w:val="800080"/>
            <w:sz w:val="17"/>
            <w:szCs w:val="17"/>
          </w:rPr>
          <w:t>tuşlayınız.</w:t>
        </w:r>
      </w:hyperlink>
      <w:r>
        <w:rPr>
          <w:rFonts w:ascii="Arial" w:hAnsi="Arial" w:cs="Arial"/>
          <w:color w:val="333333"/>
          <w:sz w:val="17"/>
          <w:szCs w:val="17"/>
        </w:rPr>
        <w:t xml:space="preserve"> </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u w:val="single"/>
        </w:rPr>
        <w:t>Sanayi ve Ticaret Bakanlığından:</w:t>
      </w:r>
    </w:p>
    <w:p w:rsidR="00516B0E" w:rsidRDefault="00516B0E" w:rsidP="00516B0E">
      <w:pPr>
        <w:pStyle w:val="NormalWeb"/>
        <w:jc w:val="center"/>
        <w:rPr>
          <w:rFonts w:ascii="Calibri" w:hAnsi="Calibri" w:cs="Segoe UI"/>
          <w:color w:val="000000"/>
          <w:sz w:val="14"/>
          <w:szCs w:val="14"/>
        </w:rPr>
      </w:pPr>
      <w:r>
        <w:rPr>
          <w:rStyle w:val="Gl"/>
          <w:rFonts w:ascii="Arial" w:hAnsi="Arial" w:cs="Arial"/>
          <w:color w:val="333333"/>
          <w:sz w:val="18"/>
          <w:szCs w:val="18"/>
        </w:rPr>
        <w:t>SANAYİ VE TİCARET BAKANLIĞI SANAYİ TEZLERİ (SAN-TEZ)</w:t>
      </w:r>
    </w:p>
    <w:p w:rsidR="00516B0E" w:rsidRDefault="00516B0E" w:rsidP="00516B0E">
      <w:pPr>
        <w:pStyle w:val="NormalWeb"/>
        <w:jc w:val="center"/>
        <w:rPr>
          <w:rFonts w:ascii="Calibri" w:hAnsi="Calibri" w:cs="Segoe UI"/>
          <w:color w:val="000000"/>
          <w:sz w:val="14"/>
          <w:szCs w:val="14"/>
        </w:rPr>
      </w:pPr>
      <w:r>
        <w:rPr>
          <w:rStyle w:val="Gl"/>
          <w:rFonts w:ascii="Arial" w:hAnsi="Arial" w:cs="Arial"/>
          <w:color w:val="333333"/>
          <w:sz w:val="18"/>
          <w:szCs w:val="18"/>
        </w:rPr>
        <w:t>PROJELERİNİN DESTEKLENME USUL VE ESASLARI</w:t>
      </w:r>
    </w:p>
    <w:p w:rsidR="00516B0E" w:rsidRDefault="00516B0E" w:rsidP="00516B0E">
      <w:pPr>
        <w:pStyle w:val="NormalWeb"/>
        <w:jc w:val="center"/>
        <w:rPr>
          <w:rFonts w:ascii="Calibri" w:hAnsi="Calibri" w:cs="Segoe UI"/>
          <w:color w:val="000000"/>
          <w:sz w:val="14"/>
          <w:szCs w:val="14"/>
        </w:rPr>
      </w:pPr>
      <w:r>
        <w:rPr>
          <w:rStyle w:val="Gl"/>
          <w:rFonts w:ascii="Arial" w:hAnsi="Arial" w:cs="Arial"/>
          <w:color w:val="333333"/>
          <w:sz w:val="18"/>
          <w:szCs w:val="18"/>
        </w:rPr>
        <w:t xml:space="preserve">HAKKINDA YÖNETMELİK </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w:t>
      </w:r>
      <w:r>
        <w:rPr>
          <w:rFonts w:ascii="Arial" w:hAnsi="Arial" w:cs="Arial"/>
          <w:color w:val="333333"/>
          <w:sz w:val="20"/>
          <w:szCs w:val="20"/>
        </w:rPr>
        <w:t xml:space="preserve">9 Eylül 2006 tarih ve 26284 sayılı resmi gazete) </w:t>
      </w:r>
    </w:p>
    <w:p w:rsidR="00516B0E" w:rsidRDefault="00516B0E" w:rsidP="00516B0E">
      <w:pPr>
        <w:pStyle w:val="NormalWeb"/>
        <w:jc w:val="center"/>
        <w:rPr>
          <w:rFonts w:ascii="Calibri" w:hAnsi="Calibri" w:cs="Segoe UI"/>
          <w:color w:val="000000"/>
          <w:sz w:val="14"/>
          <w:szCs w:val="14"/>
        </w:rPr>
      </w:pPr>
      <w:r>
        <w:rPr>
          <w:rStyle w:val="Gl"/>
          <w:rFonts w:ascii="Arial" w:hAnsi="Arial" w:cs="Arial"/>
          <w:color w:val="333333"/>
          <w:sz w:val="18"/>
          <w:szCs w:val="18"/>
        </w:rPr>
        <w:t xml:space="preserve">BİRİNCİ BÖLÜM </w:t>
      </w:r>
    </w:p>
    <w:p w:rsidR="00516B0E" w:rsidRDefault="00516B0E" w:rsidP="00516B0E">
      <w:pPr>
        <w:pStyle w:val="NormalWeb"/>
        <w:jc w:val="center"/>
        <w:rPr>
          <w:rFonts w:ascii="Calibri" w:hAnsi="Calibri" w:cs="Segoe UI"/>
          <w:color w:val="000000"/>
          <w:sz w:val="14"/>
          <w:szCs w:val="14"/>
        </w:rPr>
      </w:pPr>
      <w:r>
        <w:rPr>
          <w:rStyle w:val="Gl"/>
          <w:rFonts w:ascii="Arial" w:hAnsi="Arial" w:cs="Arial"/>
          <w:color w:val="333333"/>
          <w:sz w:val="18"/>
          <w:szCs w:val="18"/>
        </w:rPr>
        <w:t>Amaç, Kapsam, Dayanak ve Tanımlar</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Amaç</w:t>
      </w:r>
    </w:p>
    <w:p w:rsidR="00516B0E" w:rsidRDefault="00516B0E" w:rsidP="00516B0E">
      <w:pPr>
        <w:pStyle w:val="NormalWeb"/>
        <w:jc w:val="both"/>
        <w:rPr>
          <w:rFonts w:ascii="Calibri" w:hAnsi="Calibri" w:cs="Segoe UI"/>
          <w:color w:val="000000"/>
          <w:sz w:val="14"/>
          <w:szCs w:val="14"/>
        </w:rPr>
      </w:pPr>
      <w:proofErr w:type="gramStart"/>
      <w:r>
        <w:rPr>
          <w:rStyle w:val="Gl"/>
          <w:rFonts w:ascii="Arial" w:hAnsi="Arial" w:cs="Arial"/>
          <w:color w:val="333333"/>
          <w:sz w:val="18"/>
          <w:szCs w:val="18"/>
        </w:rPr>
        <w:t xml:space="preserve">MADDE 1 – </w:t>
      </w:r>
      <w:r>
        <w:rPr>
          <w:rFonts w:ascii="Arial" w:hAnsi="Arial" w:cs="Arial"/>
          <w:color w:val="333333"/>
          <w:sz w:val="18"/>
          <w:szCs w:val="18"/>
        </w:rPr>
        <w:t>(1) Bu Yönetmelik, üniversite-sanayi işbirliğinin kurumsallaştırılması, üniversitelerde yapılan bilimsel çalışmaların ticarileştirilerek ülkemize katma değer yaratacak, ülkenin uluslararası pazarlardaki rekabet gücünün artırılmasına katkı sağlayacak yeni ürün ve/veya üretim yöntemi geliştirilmesi, mevcut üründe ve/veya üretim yönteminde yenilik yapılması amacıyla sanayinin ihtiyaçları doğrultusunda belirlenecek yüksek lisans ve/veya doktora tez çalışmalarının seçilmesi, desteklenmesi, izlenmesi, sonuçlandırılması ve sonuçların değerlendirilmesine ilişkin usul ve esasları belirlemek amacıyla düzenlenmiştir.</w:t>
      </w:r>
      <w:proofErr w:type="gramEnd"/>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Kapsam</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 xml:space="preserve">MADDE 2 – </w:t>
      </w:r>
      <w:r>
        <w:rPr>
          <w:rFonts w:ascii="Arial" w:hAnsi="Arial" w:cs="Arial"/>
          <w:color w:val="333333"/>
          <w:sz w:val="18"/>
          <w:szCs w:val="18"/>
        </w:rPr>
        <w:t>(1) Bu Yönetmelik, Sanayi ve Ticaret Bakanlığı tarafından yürütülen San-Tez Projesi kapsamında üniversiteler ile kuruluşlar tarafından ortaklaşa hazırlanan projelerin desteklenmesi esaslarını kapsar.</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Dayanak</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 xml:space="preserve">MADDE 3 – </w:t>
      </w:r>
      <w:r>
        <w:rPr>
          <w:rFonts w:ascii="Arial" w:hAnsi="Arial" w:cs="Arial"/>
          <w:color w:val="333333"/>
          <w:sz w:val="18"/>
          <w:szCs w:val="18"/>
        </w:rPr>
        <w:t xml:space="preserve">(1) Bu Yönetmelik </w:t>
      </w:r>
      <w:proofErr w:type="gramStart"/>
      <w:r>
        <w:rPr>
          <w:rFonts w:ascii="Arial" w:hAnsi="Arial" w:cs="Arial"/>
          <w:color w:val="333333"/>
          <w:sz w:val="18"/>
          <w:szCs w:val="18"/>
        </w:rPr>
        <w:t>8/1/1985</w:t>
      </w:r>
      <w:proofErr w:type="gramEnd"/>
      <w:r>
        <w:rPr>
          <w:rFonts w:ascii="Arial" w:hAnsi="Arial" w:cs="Arial"/>
          <w:color w:val="333333"/>
          <w:sz w:val="18"/>
          <w:szCs w:val="18"/>
        </w:rPr>
        <w:t xml:space="preserve"> tarihli ve 3143 sayılı Sanayi ve Ticaret Bakanlığının Teşkilat ve Görevleri Hakkında Kanunun 10 uncu maddesine dayanılarak hazırlanmıştır.</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Tanımlar</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 xml:space="preserve">MADDE 4 – </w:t>
      </w:r>
      <w:r>
        <w:rPr>
          <w:rFonts w:ascii="Arial" w:hAnsi="Arial" w:cs="Arial"/>
          <w:color w:val="333333"/>
          <w:sz w:val="18"/>
          <w:szCs w:val="18"/>
        </w:rPr>
        <w:t>(1) Bu Yönetmelikte geçen;</w:t>
      </w:r>
    </w:p>
    <w:p w:rsidR="00516B0E" w:rsidRDefault="00516B0E" w:rsidP="00516B0E">
      <w:pPr>
        <w:pStyle w:val="NormalWeb"/>
        <w:jc w:val="both"/>
        <w:rPr>
          <w:rFonts w:ascii="Calibri" w:hAnsi="Calibri" w:cs="Segoe UI"/>
          <w:color w:val="000000"/>
          <w:sz w:val="14"/>
          <w:szCs w:val="14"/>
        </w:rPr>
      </w:pPr>
      <w:proofErr w:type="gramStart"/>
      <w:r>
        <w:rPr>
          <w:rFonts w:ascii="Arial" w:hAnsi="Arial" w:cs="Arial"/>
          <w:color w:val="333333"/>
          <w:sz w:val="18"/>
          <w:szCs w:val="18"/>
        </w:rPr>
        <w:lastRenderedPageBreak/>
        <w:t>a) Araştırma ve geliştirme projeleri: Amacı, kapsamı, süresi, bütçesi, özel şartları, Bakanlık ve diğer kurum, kuruluş, gerçek ve tüzel kişilerce sağlanacak ayni ve/veya nakdi destek miktarları sözleşme ile belirlenmiş, ülkemizin uluslar arası pazarlardaki rekabet gücünün artırılması amacı ile ürün kalitesinin yükseltilmesi, maliyet düşürücü ve standart yükseltici mahiyette yeni tekniklerin geliştirilmesi, üretimle ilgili yeni bir teknoloji geliştirilmesi, sonuçları yeni ürün ve üretim yöntemlerine dönüştürülen veya mevcut ürün ve üretim yöntemlerinde yenilik geliştirmeye yönelik, doğacak patent haklarının ilgililer arasındaki paylaşım esasları belirlenmiş çalışmaları,</w:t>
      </w:r>
      <w:proofErr w:type="gramEnd"/>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b) Ar-</w:t>
      </w:r>
      <w:proofErr w:type="spellStart"/>
      <w:r>
        <w:rPr>
          <w:rStyle w:val="spelle"/>
          <w:rFonts w:ascii="Arial" w:hAnsi="Arial" w:cs="Arial"/>
          <w:color w:val="333333"/>
          <w:sz w:val="18"/>
          <w:szCs w:val="18"/>
        </w:rPr>
        <w:t>Ge</w:t>
      </w:r>
      <w:proofErr w:type="spellEnd"/>
      <w:r>
        <w:rPr>
          <w:rFonts w:ascii="Arial" w:hAnsi="Arial" w:cs="Arial"/>
          <w:color w:val="333333"/>
          <w:sz w:val="18"/>
          <w:szCs w:val="18"/>
        </w:rPr>
        <w:t xml:space="preserve">: Kavram geliştirme, teknolojik/teknik ve ekonomik yapılabilirlik etüdü, geliştirilen kavramdan tasarıma </w:t>
      </w:r>
      <w:r>
        <w:rPr>
          <w:rStyle w:val="spelle"/>
          <w:rFonts w:ascii="Arial" w:hAnsi="Arial" w:cs="Arial"/>
          <w:color w:val="333333"/>
          <w:sz w:val="18"/>
          <w:szCs w:val="18"/>
        </w:rPr>
        <w:t>geçiş</w:t>
      </w:r>
      <w:r>
        <w:rPr>
          <w:rFonts w:ascii="Arial" w:hAnsi="Arial" w:cs="Arial"/>
          <w:color w:val="333333"/>
          <w:sz w:val="18"/>
          <w:szCs w:val="18"/>
        </w:rPr>
        <w:t xml:space="preserve"> sürecinde yer alan laboratuar ve benzeri çalışmaları, tasarım, tasarım geliştirme ve tasarım doğrulama çalışmaları, </w:t>
      </w:r>
      <w:proofErr w:type="gramStart"/>
      <w:r>
        <w:rPr>
          <w:rFonts w:ascii="Arial" w:hAnsi="Arial" w:cs="Arial"/>
          <w:color w:val="333333"/>
          <w:sz w:val="18"/>
          <w:szCs w:val="18"/>
        </w:rPr>
        <w:t>prototip</w:t>
      </w:r>
      <w:proofErr w:type="gramEnd"/>
      <w:r>
        <w:rPr>
          <w:rFonts w:ascii="Arial" w:hAnsi="Arial" w:cs="Arial"/>
          <w:color w:val="333333"/>
          <w:sz w:val="18"/>
          <w:szCs w:val="18"/>
        </w:rPr>
        <w:t xml:space="preserve"> üretimi, pilot tesisin kurulması, deneme üretimi ve tip tesislerin yapılması, satış sonrasında ürün tasarımından kaynaklanan sorunların çözümüne ilişkin süreçleri kapsayan faaliyetleri, </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 xml:space="preserve">c) Bakanlık: Sanayi ve Ticaret Bakanlığını, </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 xml:space="preserve">ç) Dönem raporu: Tez izleme komitesi ve kuruluş temsilcisi tarafından 6’şar aylık dönemlerde hazırlanıp, dönemsel teknik kazanımları, faaliyetleri ve gerçekleşmeleri, projedeki ilerlemeyi, ara çıktıları, planlanandan zaman/maliyet/kapsam olarak gerçekleşen veya öngörülen sapmaları, bu sapmaların proje gelişimine etkisini, alınması gerekli önlemleri ve benzeri bilgiyi içeren raporu, </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d) Gerçekleşme raporu: Proje Yürütücüsü tarafından 3 aylık dönemler için hazırlanan ve kuruluş yetkilisi tarafından imzalanan ödenek talep formu, gider belgelerinden oluşan ve üniversitelerin ilgili enstitüleri tarafından onaylanmış raporu,</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 xml:space="preserve">e) Genel Müdürlük: Sanayi Araştırma ve Geliştirme Genel Müdürlüğünü, </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f) İzleme raporu: Projede gerçekleşen teknik kazanımları, faaliyetleri, projedeki ilerlemeyi, zaman/maliyet/kapsam açısından planlanandan sapmaları, bu sapmaların proje gelişimine etkisini, harcamaların faaliyetlerle uyumunu değerlendirmek amacıyla izleyici tarafından düzenlenen raporu,</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g) İzleyici: Desteklenmesi uygun bulunan San-Tez projelerini dönemler itibariyle incelemek üzere Genel Müdürün teklifi üzerine Bakan onayı ile görevlendirilen kişiyi,</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ğ) Kuruluş: Sektör ve büyüklüğüne bakılmaksızın firma düzeyinde katma değer yaratan, San-Tez Proje sonuçlarının ticarileştirilmesinden sorumlu ülkemizde yerleşik bütün işletmeleri,</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 xml:space="preserve">h) Kuruluş yetkilisi: Projenin bilimsel, teknik, idari, mali ve hukuki her türlü sorumluluğunu taşıyan kuruluşu temsil ve ilzama yetkili kişiyi, </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lastRenderedPageBreak/>
        <w:t>ı) Ödenek talep formu: Projedeki gerçekleşmenin değerlendirilmesi için gereken ve proje sözleşmesine uygun olarak hazırlanan, gider formları, gider belgeleri, destekleyici gider belgelerini içeren ve gerçekleşme raporundan oluşan formu,</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i) Proje yürütücüsü: Proje hazırlama, yürütme beceri ve deneyimine sahip, projenin bilimsel, teknik, idari, mali ve hukuki her türlü sorumluluğunu taşıyan, projeye ilişkin raporların verilmesinden, harcamaların projenin gereklerine uygunluğundan sorumlu olan ve proje ile ilgili yazışmaları yapan üniversite öğretim üyesini,</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j) Proje sözleşmesi: Desteklenen projenin yürütücüsü, kuruluş yetkilisi ve Bakanlık arasında akdedilen; projenin kapsamı, çalışma programı, bütçe planı, idari ve mali hükümler ile diğer hususların belirlendiği yazılı anlaşmayı,</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k) Proje sonuç raporu: Projenin sona erdiği dönemde proje sonuçlarını, projenin kuruluş ve ekonomi üzerindeki beklenen etkisini gösteren Bakanlıkça belirlenen formata uygun olarak proje ortakları tarafından Bakanlığa sunulan raporu,</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l) Proje başvuru dokümanı: Projenin değerlendirilebilmesi için; projenin konusu ve amacı, başarı ölçütleri, bilimsel ve teknolojik niteliği, iş planı ve iş paketi faaliyetleri, projenin gerçekleştirileceği kuruluş Ar-</w:t>
      </w:r>
      <w:proofErr w:type="spellStart"/>
      <w:r>
        <w:rPr>
          <w:rStyle w:val="spelle"/>
          <w:rFonts w:ascii="Arial" w:hAnsi="Arial" w:cs="Arial"/>
          <w:color w:val="333333"/>
          <w:sz w:val="18"/>
          <w:szCs w:val="18"/>
        </w:rPr>
        <w:t>Ge</w:t>
      </w:r>
      <w:proofErr w:type="spellEnd"/>
      <w:r>
        <w:rPr>
          <w:rFonts w:ascii="Arial" w:hAnsi="Arial" w:cs="Arial"/>
          <w:color w:val="333333"/>
          <w:sz w:val="18"/>
          <w:szCs w:val="18"/>
        </w:rPr>
        <w:t xml:space="preserve"> altyapısı ve proje yönetimine yönelik bilgiler, yaratılacak katma değer, verimlilik ve rekabet gücü açısından yapması beklenen katkı, oluşacak teknik bilgi birikiminin ticarileştirilmesine yönelik hedef ve stratejilere ilişkin bilgi ile tahmini maliyet formlarını içeren ve ortaya çıkan ihtiyaçlar doğrultusunda her </w:t>
      </w:r>
      <w:proofErr w:type="gramStart"/>
      <w:r>
        <w:rPr>
          <w:rFonts w:ascii="Arial" w:hAnsi="Arial" w:cs="Arial"/>
          <w:color w:val="333333"/>
          <w:sz w:val="18"/>
          <w:szCs w:val="18"/>
        </w:rPr>
        <w:t>yıl başında</w:t>
      </w:r>
      <w:proofErr w:type="gramEnd"/>
      <w:r>
        <w:rPr>
          <w:rFonts w:ascii="Arial" w:hAnsi="Arial" w:cs="Arial"/>
          <w:color w:val="333333"/>
          <w:sz w:val="18"/>
          <w:szCs w:val="18"/>
        </w:rPr>
        <w:t xml:space="preserve"> güncelleştirilen dokümanı,</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m) Proje ortakları: Projeyi gerçekleştirecek Proje Yürütücüsü ve kuruluşu,</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n) Proje değerlendirme grubu: San-Tez kapsamında başvurusu yapılan projeleri değerlendirmek ve desteklenecek projeleri belirlemek üzere, Genel Müdürlükten 1 kişi, Devlet Planlama Teşkilatı Müsteşarlığından 1 kişi, farklı üniversitelerin ilgili bölümlerinden 2 akademisyen ve TOBB tarafından belirlenecek 1 sanayici olmak üzere, değerlendirilecek proje konusunda uzman 5 kişiden oluşan grubu,</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 xml:space="preserve">o) TOBB: Türkiye Odalar ve Borsalar Birliğini, </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ö) San-Tez: Yeni ürün ve/veya üretim yöntemi geliştirilmesi, mevcut üründe ve/veya üretim yönteminde yenilik yapılması amacıyla konusu sanayinin ihtiyaçları doğrultusunda belirlenen ve üniversitelerde yüksek lisans ve/veya doktora tezi olarak gerçekleştirilecek Ar-</w:t>
      </w:r>
      <w:proofErr w:type="spellStart"/>
      <w:r>
        <w:rPr>
          <w:rStyle w:val="spelle"/>
          <w:rFonts w:ascii="Arial" w:hAnsi="Arial" w:cs="Arial"/>
          <w:color w:val="333333"/>
          <w:sz w:val="18"/>
          <w:szCs w:val="18"/>
        </w:rPr>
        <w:t>Ge</w:t>
      </w:r>
      <w:proofErr w:type="spellEnd"/>
      <w:r>
        <w:rPr>
          <w:rFonts w:ascii="Arial" w:hAnsi="Arial" w:cs="Arial"/>
          <w:color w:val="333333"/>
          <w:sz w:val="18"/>
          <w:szCs w:val="18"/>
        </w:rPr>
        <w:t xml:space="preserve"> projelerini,</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 xml:space="preserve">p) San-Tez İzleme Komisyonu: Sanayi Araştırma ve Geliştirme Genel Müdürü başkanlığında, proje izleyicilerinden oluşan, projelerle ilgili izleme raporlarının, ödeme planlarının, sözleşmeye aykırı durumların ve değişiklik isteklerinin değerlendirildiği, Genel Müdürlük tarafından belirlenen sürelerde toplanan komisyonu, </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lastRenderedPageBreak/>
        <w:t xml:space="preserve">r) Tez öğrencisi: Uygulama amacıyla projede yer alan, Türkiye’de kurulu yüksek öğretim kurumlarında lisansüstü eğitim veya doktora yapan öğrencileri, </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 xml:space="preserve">s) Üründe yenilik: Teknolojik açıdan önceki ürün kuşağıyla karşılaştırıldığında malzemesi, parçaları ve yerine getirdiği işlevler açısından öze ilişkin teknolojik farklar gösteren bir ürünü, </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 xml:space="preserve">ş) Üretim yöntemlerinde yenilik: Geleneksel üretim tesislerinde üretilemeyen, yeni </w:t>
      </w:r>
      <w:r>
        <w:rPr>
          <w:rStyle w:val="spelle"/>
          <w:rFonts w:ascii="Arial" w:hAnsi="Arial" w:cs="Arial"/>
          <w:color w:val="333333"/>
          <w:sz w:val="18"/>
          <w:szCs w:val="18"/>
        </w:rPr>
        <w:t>ya</w:t>
      </w:r>
      <w:r>
        <w:rPr>
          <w:rFonts w:ascii="Arial" w:hAnsi="Arial" w:cs="Arial"/>
          <w:color w:val="333333"/>
          <w:sz w:val="18"/>
          <w:szCs w:val="18"/>
        </w:rPr>
        <w:t xml:space="preserve"> da geliştirilmiş ürünlerin üretilmesinde veya halen üretilmekte olan ürünlerin yeni tekniklerle üretilmesinde kullanılan yöntemi, </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 xml:space="preserve">t) Yardımcı araştırmacı: Bir projenin bilimsel ve teknik sorumluluğuna katılarak görev alan, kesin raporda ve/veya diğer yayımlarda yazarlar arasında adı </w:t>
      </w:r>
      <w:r>
        <w:rPr>
          <w:rStyle w:val="spelle"/>
          <w:rFonts w:ascii="Arial" w:hAnsi="Arial" w:cs="Arial"/>
          <w:color w:val="333333"/>
          <w:sz w:val="18"/>
          <w:szCs w:val="18"/>
        </w:rPr>
        <w:t>geçecek</w:t>
      </w:r>
      <w:r>
        <w:rPr>
          <w:rFonts w:ascii="Arial" w:hAnsi="Arial" w:cs="Arial"/>
          <w:color w:val="333333"/>
          <w:sz w:val="18"/>
          <w:szCs w:val="18"/>
        </w:rPr>
        <w:t xml:space="preserve"> olan yürütücü dışındaki araştırmacıları, </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 xml:space="preserve">u) Yardımcı personel: Proje yürütücüsünün veya araştırmacıların gözetimi altında projenin yürütülmesinde tam veya kısmi zamanlı, sürekli veya geçici olarak görev alan, kesin raporda adı </w:t>
      </w:r>
      <w:r>
        <w:rPr>
          <w:rStyle w:val="spelle"/>
          <w:rFonts w:ascii="Arial" w:hAnsi="Arial" w:cs="Arial"/>
          <w:color w:val="333333"/>
          <w:sz w:val="18"/>
          <w:szCs w:val="18"/>
        </w:rPr>
        <w:t>geçmeyen</w:t>
      </w:r>
      <w:r>
        <w:rPr>
          <w:rFonts w:ascii="Arial" w:hAnsi="Arial" w:cs="Arial"/>
          <w:color w:val="333333"/>
          <w:sz w:val="18"/>
          <w:szCs w:val="18"/>
        </w:rPr>
        <w:t xml:space="preserve"> uzman ve teknik eleman benzeri personeli, </w:t>
      </w:r>
    </w:p>
    <w:p w:rsidR="00516B0E" w:rsidRDefault="00516B0E" w:rsidP="00516B0E">
      <w:pPr>
        <w:pStyle w:val="NormalWeb"/>
        <w:jc w:val="both"/>
        <w:rPr>
          <w:rFonts w:ascii="Calibri" w:hAnsi="Calibri" w:cs="Segoe UI"/>
          <w:color w:val="000000"/>
          <w:sz w:val="14"/>
          <w:szCs w:val="14"/>
        </w:rPr>
      </w:pPr>
      <w:proofErr w:type="gramStart"/>
      <w:r>
        <w:rPr>
          <w:rFonts w:ascii="Arial" w:hAnsi="Arial" w:cs="Arial"/>
          <w:color w:val="333333"/>
          <w:sz w:val="18"/>
          <w:szCs w:val="18"/>
        </w:rPr>
        <w:t xml:space="preserve">ü) Yenilik: Renk </w:t>
      </w:r>
      <w:r>
        <w:rPr>
          <w:rStyle w:val="spelle"/>
          <w:rFonts w:ascii="Arial" w:hAnsi="Arial" w:cs="Arial"/>
          <w:color w:val="333333"/>
          <w:sz w:val="18"/>
          <w:szCs w:val="18"/>
        </w:rPr>
        <w:t>ya</w:t>
      </w:r>
      <w:r>
        <w:rPr>
          <w:rFonts w:ascii="Arial" w:hAnsi="Arial" w:cs="Arial"/>
          <w:color w:val="333333"/>
          <w:sz w:val="18"/>
          <w:szCs w:val="18"/>
        </w:rPr>
        <w:t xml:space="preserve"> da dekorasyondaki değişiklikler gibi bütünüyle estetik alana yönelik değişiklikler ile ürünün yapı, nitelik </w:t>
      </w:r>
      <w:r>
        <w:rPr>
          <w:rStyle w:val="spelle"/>
          <w:rFonts w:ascii="Arial" w:hAnsi="Arial" w:cs="Arial"/>
          <w:color w:val="333333"/>
          <w:sz w:val="18"/>
          <w:szCs w:val="18"/>
        </w:rPr>
        <w:t>ya</w:t>
      </w:r>
      <w:r>
        <w:rPr>
          <w:rFonts w:ascii="Arial" w:hAnsi="Arial" w:cs="Arial"/>
          <w:color w:val="333333"/>
          <w:sz w:val="18"/>
          <w:szCs w:val="18"/>
        </w:rPr>
        <w:t xml:space="preserve"> da performansını teknik açıdan değiştirmeyen, küçük tasarım </w:t>
      </w:r>
      <w:r>
        <w:rPr>
          <w:rStyle w:val="spelle"/>
          <w:rFonts w:ascii="Arial" w:hAnsi="Arial" w:cs="Arial"/>
          <w:color w:val="333333"/>
          <w:sz w:val="18"/>
          <w:szCs w:val="18"/>
        </w:rPr>
        <w:t>ya</w:t>
      </w:r>
      <w:r>
        <w:rPr>
          <w:rFonts w:ascii="Arial" w:hAnsi="Arial" w:cs="Arial"/>
          <w:color w:val="333333"/>
          <w:sz w:val="18"/>
          <w:szCs w:val="18"/>
        </w:rPr>
        <w:t xml:space="preserve"> da görünüm farklarından ibaret basit değişiklikler dışında, bir fikri, satılabilir, yeni </w:t>
      </w:r>
      <w:r>
        <w:rPr>
          <w:rStyle w:val="spelle"/>
          <w:rFonts w:ascii="Arial" w:hAnsi="Arial" w:cs="Arial"/>
          <w:color w:val="333333"/>
          <w:sz w:val="18"/>
          <w:szCs w:val="18"/>
        </w:rPr>
        <w:t>ya</w:t>
      </w:r>
      <w:r>
        <w:rPr>
          <w:rFonts w:ascii="Arial" w:hAnsi="Arial" w:cs="Arial"/>
          <w:color w:val="333333"/>
          <w:sz w:val="18"/>
          <w:szCs w:val="18"/>
        </w:rPr>
        <w:t xml:space="preserve"> da geliştirilmiş bir ürün </w:t>
      </w:r>
      <w:r>
        <w:rPr>
          <w:rStyle w:val="spelle"/>
          <w:rFonts w:ascii="Arial" w:hAnsi="Arial" w:cs="Arial"/>
          <w:color w:val="333333"/>
          <w:sz w:val="18"/>
          <w:szCs w:val="18"/>
        </w:rPr>
        <w:t>ya</w:t>
      </w:r>
      <w:r>
        <w:rPr>
          <w:rFonts w:ascii="Arial" w:hAnsi="Arial" w:cs="Arial"/>
          <w:color w:val="333333"/>
          <w:sz w:val="18"/>
          <w:szCs w:val="18"/>
        </w:rPr>
        <w:t xml:space="preserve"> da mal ve hizmet üretiminde kullanılan yeni </w:t>
      </w:r>
      <w:r>
        <w:rPr>
          <w:rStyle w:val="spelle"/>
          <w:rFonts w:ascii="Arial" w:hAnsi="Arial" w:cs="Arial"/>
          <w:color w:val="333333"/>
          <w:sz w:val="18"/>
          <w:szCs w:val="18"/>
        </w:rPr>
        <w:t>ya</w:t>
      </w:r>
      <w:r>
        <w:rPr>
          <w:rFonts w:ascii="Arial" w:hAnsi="Arial" w:cs="Arial"/>
          <w:color w:val="333333"/>
          <w:sz w:val="18"/>
          <w:szCs w:val="18"/>
        </w:rPr>
        <w:t xml:space="preserve"> da geliştirilmiş bir yöntem haline dönüştürmeyi, </w:t>
      </w:r>
      <w:proofErr w:type="gramEnd"/>
    </w:p>
    <w:p w:rsidR="00516B0E" w:rsidRDefault="00516B0E" w:rsidP="00516B0E">
      <w:pPr>
        <w:pStyle w:val="NormalWeb"/>
        <w:jc w:val="both"/>
        <w:rPr>
          <w:rFonts w:ascii="Calibri" w:hAnsi="Calibri" w:cs="Segoe UI"/>
          <w:color w:val="000000"/>
          <w:sz w:val="14"/>
          <w:szCs w:val="14"/>
        </w:rPr>
      </w:pPr>
      <w:proofErr w:type="gramStart"/>
      <w:r>
        <w:rPr>
          <w:rFonts w:ascii="Arial" w:hAnsi="Arial" w:cs="Arial"/>
          <w:color w:val="333333"/>
          <w:sz w:val="18"/>
          <w:szCs w:val="18"/>
        </w:rPr>
        <w:t>ifade</w:t>
      </w:r>
      <w:proofErr w:type="gramEnd"/>
      <w:r>
        <w:rPr>
          <w:rFonts w:ascii="Arial" w:hAnsi="Arial" w:cs="Arial"/>
          <w:color w:val="333333"/>
          <w:sz w:val="18"/>
          <w:szCs w:val="18"/>
        </w:rPr>
        <w:t xml:space="preserve"> eder.</w:t>
      </w:r>
    </w:p>
    <w:p w:rsidR="00516B0E" w:rsidRDefault="00516B0E" w:rsidP="00516B0E">
      <w:pPr>
        <w:pStyle w:val="NormalWeb"/>
        <w:jc w:val="center"/>
        <w:rPr>
          <w:rFonts w:ascii="Calibri" w:hAnsi="Calibri" w:cs="Segoe UI"/>
          <w:color w:val="000000"/>
          <w:sz w:val="14"/>
          <w:szCs w:val="14"/>
        </w:rPr>
      </w:pPr>
      <w:r>
        <w:rPr>
          <w:rStyle w:val="Gl"/>
          <w:rFonts w:ascii="Arial" w:hAnsi="Arial" w:cs="Arial"/>
          <w:color w:val="333333"/>
          <w:sz w:val="18"/>
          <w:szCs w:val="18"/>
        </w:rPr>
        <w:t>İKİNCİ BÖLÜM</w:t>
      </w:r>
    </w:p>
    <w:p w:rsidR="00516B0E" w:rsidRDefault="00516B0E" w:rsidP="00516B0E">
      <w:pPr>
        <w:pStyle w:val="NormalWeb"/>
        <w:jc w:val="center"/>
        <w:rPr>
          <w:rFonts w:ascii="Calibri" w:hAnsi="Calibri" w:cs="Segoe UI"/>
          <w:color w:val="000000"/>
          <w:sz w:val="14"/>
          <w:szCs w:val="14"/>
        </w:rPr>
      </w:pPr>
      <w:r>
        <w:rPr>
          <w:rStyle w:val="Gl"/>
          <w:rFonts w:ascii="Arial" w:hAnsi="Arial" w:cs="Arial"/>
          <w:color w:val="333333"/>
          <w:sz w:val="18"/>
          <w:szCs w:val="18"/>
        </w:rPr>
        <w:t>Destek Oranları ve Kapsamı</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Destek oranı</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 xml:space="preserve">MADDE 5 – </w:t>
      </w:r>
      <w:r>
        <w:rPr>
          <w:rFonts w:ascii="Arial" w:hAnsi="Arial" w:cs="Arial"/>
          <w:color w:val="333333"/>
          <w:sz w:val="18"/>
          <w:szCs w:val="18"/>
        </w:rPr>
        <w:t xml:space="preserve">(1) Desteklenmesine karar verilen San-Tez proje giderlerine Bakanlık tarafından uygulanacak en yüksek hibe oranı %75 olup, toplam proje bedelinin %25’i kuruluş tarafından nakdi olarak, projenin yürütülmesine yönelik test ve laboratuar çalışmaları gibi hizmetler ise projenin yürütüldüğü üniversite tarafından ayni olarak karşılanır. Uygulamaya ilişkin açıklamalar, Teknik ve Mali Kılavuzda yayımlanır. </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Destek süresi</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 xml:space="preserve">MADDE 6 – </w:t>
      </w:r>
      <w:r>
        <w:rPr>
          <w:rFonts w:ascii="Arial" w:hAnsi="Arial" w:cs="Arial"/>
          <w:color w:val="333333"/>
          <w:sz w:val="18"/>
          <w:szCs w:val="18"/>
        </w:rPr>
        <w:t>(1) Destekleme süresi proje bazında en çok üç yıldır. Ancak projenin gereksinimlerine uygun olarak 6 ay ek süre verilebilir.</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lastRenderedPageBreak/>
        <w:t>Ödenek talep dönemleri</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 xml:space="preserve">MADDE 7 – </w:t>
      </w:r>
      <w:r>
        <w:rPr>
          <w:rFonts w:ascii="Arial" w:hAnsi="Arial" w:cs="Arial"/>
          <w:color w:val="333333"/>
          <w:sz w:val="18"/>
          <w:szCs w:val="18"/>
        </w:rPr>
        <w:t xml:space="preserve">(1) Ödenek Talep Formu başvuruları, proje sözleşmesinin imzalanma tarihini takiben üçer aylık dönemler itibariyle hazırlanır ve Genel Müdürlüğe sunulur. </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Projenin desteklendiği diğer kaynaklar</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 xml:space="preserve">MADDE 8 – </w:t>
      </w:r>
      <w:r>
        <w:rPr>
          <w:rFonts w:ascii="Arial" w:hAnsi="Arial" w:cs="Arial"/>
          <w:color w:val="333333"/>
          <w:sz w:val="18"/>
          <w:szCs w:val="18"/>
        </w:rPr>
        <w:t>(1) Projede diğer kamu kaynaklarından sağlanan hibe ve destekler proje başvurularında belirtilir. Diğer kamu kaynaklarından sağlanan hibe ve destekler proje harcamalarından düşülerek desteklenmeye esas harcama tutarı belirlenir.</w:t>
      </w:r>
    </w:p>
    <w:p w:rsidR="00516B0E" w:rsidRDefault="00516B0E" w:rsidP="00516B0E">
      <w:pPr>
        <w:pStyle w:val="NormalWeb"/>
        <w:jc w:val="center"/>
        <w:rPr>
          <w:rFonts w:ascii="Calibri" w:hAnsi="Calibri" w:cs="Segoe UI"/>
          <w:color w:val="000000"/>
          <w:sz w:val="14"/>
          <w:szCs w:val="14"/>
        </w:rPr>
      </w:pPr>
      <w:r>
        <w:rPr>
          <w:rStyle w:val="Gl"/>
          <w:rFonts w:ascii="Arial" w:hAnsi="Arial" w:cs="Arial"/>
          <w:color w:val="333333"/>
          <w:sz w:val="18"/>
          <w:szCs w:val="18"/>
        </w:rPr>
        <w:t>ÜÇÜNCÜ BÖLÜM</w:t>
      </w:r>
    </w:p>
    <w:p w:rsidR="00516B0E" w:rsidRDefault="00516B0E" w:rsidP="00516B0E">
      <w:pPr>
        <w:pStyle w:val="NormalWeb"/>
        <w:jc w:val="center"/>
        <w:rPr>
          <w:rFonts w:ascii="Calibri" w:hAnsi="Calibri" w:cs="Segoe UI"/>
          <w:color w:val="000000"/>
          <w:sz w:val="14"/>
          <w:szCs w:val="14"/>
        </w:rPr>
      </w:pPr>
      <w:r>
        <w:rPr>
          <w:rStyle w:val="Gl"/>
          <w:rFonts w:ascii="Arial" w:hAnsi="Arial" w:cs="Arial"/>
          <w:color w:val="333333"/>
          <w:sz w:val="18"/>
          <w:szCs w:val="18"/>
        </w:rPr>
        <w:t>Başvuru ve Değerlendirme</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Proje başvuru dönemleri</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 xml:space="preserve">MADDE 9 – </w:t>
      </w:r>
      <w:r>
        <w:rPr>
          <w:rFonts w:ascii="Arial" w:hAnsi="Arial" w:cs="Arial"/>
          <w:color w:val="333333"/>
          <w:sz w:val="18"/>
          <w:szCs w:val="18"/>
        </w:rPr>
        <w:t xml:space="preserve">(1) Proje önerisi başvuru dönemleri her yıl Genel Müdürlük tarafından hazırlanacak San-Tez Proje Başvuru Dokümanında ilan edilir. </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San-Tez proje başvurusu</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 xml:space="preserve">MADDE 10 – </w:t>
      </w:r>
      <w:r>
        <w:rPr>
          <w:rFonts w:ascii="Arial" w:hAnsi="Arial" w:cs="Arial"/>
          <w:color w:val="333333"/>
          <w:sz w:val="18"/>
          <w:szCs w:val="18"/>
        </w:rPr>
        <w:t>(1) Bu programdan yararlanmak isteyen üniversite ve kuruluş, başvurusunu San-Tez Proje Başvuru Dokümanına uygun şekilde, biri ıslak imzalı, 2 kopya halinde hazırlayarak Genel Müdürlüğe teslim eder. Proje önerisi ayrıca CD’ye yüklenmiş olarak da verilir.</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(2) Fiilen başlatılmış olan bir proje için de San-Tez destekleme programına başvuru yapılabilir.</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Proje destek başlama tarihi</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 xml:space="preserve">MADDE 11 – </w:t>
      </w:r>
      <w:r>
        <w:rPr>
          <w:rFonts w:ascii="Arial" w:hAnsi="Arial" w:cs="Arial"/>
          <w:color w:val="333333"/>
          <w:sz w:val="18"/>
          <w:szCs w:val="18"/>
        </w:rPr>
        <w:t>(1) San-Tez Destekleme Programı kapsamında desteklenmesi uygun bulunan projeler, proje ortakları ve Genel Müdürlük arasında imzalanan sözleşme tarihi itibariyle başlar.</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Ön değerlendirme</w:t>
      </w:r>
    </w:p>
    <w:p w:rsidR="00516B0E" w:rsidRDefault="00516B0E" w:rsidP="00516B0E">
      <w:pPr>
        <w:pStyle w:val="NormalWeb"/>
        <w:jc w:val="both"/>
        <w:rPr>
          <w:rFonts w:ascii="Calibri" w:hAnsi="Calibri" w:cs="Segoe UI"/>
          <w:color w:val="000000"/>
          <w:sz w:val="14"/>
          <w:szCs w:val="14"/>
        </w:rPr>
      </w:pPr>
      <w:proofErr w:type="gramStart"/>
      <w:r>
        <w:rPr>
          <w:rStyle w:val="Gl"/>
          <w:rFonts w:ascii="Arial" w:hAnsi="Arial" w:cs="Arial"/>
          <w:color w:val="333333"/>
          <w:sz w:val="18"/>
          <w:szCs w:val="18"/>
        </w:rPr>
        <w:t xml:space="preserve">MADDE 12 – </w:t>
      </w:r>
      <w:r>
        <w:rPr>
          <w:rFonts w:ascii="Arial" w:hAnsi="Arial" w:cs="Arial"/>
          <w:color w:val="333333"/>
          <w:sz w:val="18"/>
          <w:szCs w:val="18"/>
        </w:rPr>
        <w:t>(1) Ülkemizin uluslararası pazarlardaki rekabet gücünün artırılması amacı ile ileri teknoloji uygulamasına yönelik, araştırma ve geliştirme sonuçlarının ticarileştirilmesi amacıyla ürün/üretim yöntemi veya teknolojiye dönüştürme aşamalarını içeren ve ortaklarından en az birisinin projenin sonuçlarını ticari uygulamaya dönüştürecek bir kurum, kuruluş, gerçek veya tüzel kişi olan projelere öncelik verilir.</w:t>
      </w:r>
      <w:proofErr w:type="gramEnd"/>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lastRenderedPageBreak/>
        <w:t>(2) Önerilen projenin, Proje Başvuru Dokümanı ile sanayici katkısının bu Yönetmelik hükümlerine uygunluğu Genel Müdürlük tarafından değerlendirilir. Uygun bulunmayan ve/veya eksik belge içeren projeler değerlendirmeye alınmaz.</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Değerlendirme</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 xml:space="preserve">MADDE 13 – </w:t>
      </w:r>
      <w:r>
        <w:rPr>
          <w:rFonts w:ascii="Arial" w:hAnsi="Arial" w:cs="Arial"/>
          <w:color w:val="333333"/>
          <w:sz w:val="18"/>
          <w:szCs w:val="18"/>
        </w:rPr>
        <w:t xml:space="preserve">(1) Ön değerlendirmesi yapılan San-Tez Proje önerileri, konusunda uzman kişilerden oluşan Proje Değerlendirme Gruplarına gönderilir. </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 xml:space="preserve">(2) Proje Değerlendirme Grubunda bulunan uzmanlar, gerekli gördükleri takdirde değerlendirme öncesi kuruluşu yerinde inceleyebilir. </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 xml:space="preserve">(3) Proje ortakları, projenin amacını, araştırma yöntemlerini, çalışma programını, projeden beklenen bilimsel, teknolojik, ekonomik ve sosyal yararları, başarı </w:t>
      </w:r>
      <w:proofErr w:type="gramStart"/>
      <w:r>
        <w:rPr>
          <w:rFonts w:ascii="Arial" w:hAnsi="Arial" w:cs="Arial"/>
          <w:color w:val="333333"/>
          <w:sz w:val="18"/>
          <w:szCs w:val="18"/>
        </w:rPr>
        <w:t>kriterlerini</w:t>
      </w:r>
      <w:proofErr w:type="gramEnd"/>
      <w:r>
        <w:rPr>
          <w:rFonts w:ascii="Arial" w:hAnsi="Arial" w:cs="Arial"/>
          <w:color w:val="333333"/>
          <w:sz w:val="18"/>
          <w:szCs w:val="18"/>
        </w:rPr>
        <w:t>, bütçe gerekçesini ve projenin ticarileştirilme yeteneğini açıklamak üzere Proje Değerlendirme Toplantısına davet edilir.</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Karar</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 xml:space="preserve">MADDE 14 – </w:t>
      </w:r>
      <w:r>
        <w:rPr>
          <w:rFonts w:ascii="Arial" w:hAnsi="Arial" w:cs="Arial"/>
          <w:color w:val="333333"/>
          <w:sz w:val="18"/>
          <w:szCs w:val="18"/>
        </w:rPr>
        <w:t>(1) Proje değerlendirmesi sonucu oluşan karar, gerekçesiyle birlikte Genel Müdürlük tarafından proje yürütücüsüne bildirilir. Genel Müdürlük, projelere ilişkin değerlendirmesini, proje başvuru süresinin bitiminden itibaren iki ay içinde sonuçlandırır.</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 xml:space="preserve">Sözleşme </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 xml:space="preserve">MADDE 15 – </w:t>
      </w:r>
      <w:r>
        <w:rPr>
          <w:rFonts w:ascii="Arial" w:hAnsi="Arial" w:cs="Arial"/>
          <w:color w:val="333333"/>
          <w:sz w:val="18"/>
          <w:szCs w:val="18"/>
        </w:rPr>
        <w:t>(1) Bu Yönetmelik çerçevesinde desteklenmesi uygun görülen projenin yürütücüsü, ilgili kuruluş yetkilisi ve Genel Müdürlük arasında akdedilen sözleşme;</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a) Bakanlık ve proje ortakları tarafından sağlanacak destek oranları,</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 xml:space="preserve">b) Projenin süresi ve toplam bütçesi, </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 xml:space="preserve">c) Desteklenecek giderler, </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 xml:space="preserve">ç) Fikri ve </w:t>
      </w:r>
      <w:proofErr w:type="gramStart"/>
      <w:r>
        <w:rPr>
          <w:rFonts w:ascii="Arial" w:hAnsi="Arial" w:cs="Arial"/>
          <w:color w:val="333333"/>
          <w:sz w:val="18"/>
          <w:szCs w:val="18"/>
        </w:rPr>
        <w:t>sınai</w:t>
      </w:r>
      <w:proofErr w:type="gramEnd"/>
      <w:r>
        <w:rPr>
          <w:rFonts w:ascii="Arial" w:hAnsi="Arial" w:cs="Arial"/>
          <w:color w:val="333333"/>
          <w:sz w:val="18"/>
          <w:szCs w:val="18"/>
        </w:rPr>
        <w:t xml:space="preserve"> mülkiyet hakkı paylaşımı, </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d) Proje için açtırılacak banka hesabı ve bu hesabın kullanım esasları,</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 xml:space="preserve">e) </w:t>
      </w:r>
      <w:r>
        <w:rPr>
          <w:rFonts w:ascii="Arial" w:hAnsi="Arial" w:cs="Arial"/>
          <w:color w:val="333333"/>
          <w:spacing w:val="-5"/>
          <w:sz w:val="18"/>
          <w:szCs w:val="18"/>
        </w:rPr>
        <w:t>Diğer idari ve mali konulardaki hükümler ile diğer hususları, sözleşme eki ise San-Tez</w:t>
      </w:r>
      <w:r>
        <w:rPr>
          <w:rFonts w:ascii="Arial" w:hAnsi="Arial" w:cs="Arial"/>
          <w:color w:val="333333"/>
          <w:sz w:val="18"/>
          <w:szCs w:val="18"/>
        </w:rPr>
        <w:t xml:space="preserve"> Proje Başvuru Dokümanını kapsar. </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lastRenderedPageBreak/>
        <w:t>(2) Proje Yürütücüsüne, projenin tamamlanmasını takiben telif hakkı mahiyetindeki ödemenin dışında herhangi bir ödeme yapılamaz ve bu Yönetmelik çerçevesinde akdedilen sözleşmelere bu yönde herhangi bir hüküm konulamaz.</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(3) Bu Yönetmeliğe göre yapılacak tüm sözleşmelere, sözleşmede hüküm bulunmayan hallerde bu Yönetmelik hükümlerinin uygulanacağı açıkça yazılır.</w:t>
      </w:r>
    </w:p>
    <w:p w:rsidR="00516B0E" w:rsidRDefault="00516B0E" w:rsidP="00516B0E">
      <w:pPr>
        <w:pStyle w:val="NormalWeb"/>
        <w:jc w:val="center"/>
        <w:rPr>
          <w:rFonts w:ascii="Calibri" w:hAnsi="Calibri" w:cs="Segoe UI"/>
          <w:color w:val="000000"/>
          <w:sz w:val="14"/>
          <w:szCs w:val="14"/>
        </w:rPr>
      </w:pPr>
      <w:r>
        <w:rPr>
          <w:rStyle w:val="Gl"/>
          <w:rFonts w:ascii="Arial" w:hAnsi="Arial" w:cs="Arial"/>
          <w:color w:val="333333"/>
          <w:sz w:val="18"/>
          <w:szCs w:val="18"/>
        </w:rPr>
        <w:t xml:space="preserve">DÖRDÜNCÜ BÖLÜM </w:t>
      </w:r>
    </w:p>
    <w:p w:rsidR="00516B0E" w:rsidRDefault="00516B0E" w:rsidP="00516B0E">
      <w:pPr>
        <w:pStyle w:val="NormalWeb"/>
        <w:jc w:val="center"/>
        <w:rPr>
          <w:rFonts w:ascii="Calibri" w:hAnsi="Calibri" w:cs="Segoe UI"/>
          <w:color w:val="000000"/>
          <w:sz w:val="14"/>
          <w:szCs w:val="14"/>
        </w:rPr>
      </w:pPr>
      <w:r>
        <w:rPr>
          <w:rStyle w:val="Gl"/>
          <w:rFonts w:ascii="Arial" w:hAnsi="Arial" w:cs="Arial"/>
          <w:color w:val="333333"/>
          <w:sz w:val="18"/>
          <w:szCs w:val="18"/>
        </w:rPr>
        <w:t>Ödeme, İzleme ve Mali Hususlar</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Ödenek talebi</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 xml:space="preserve">MADDE 16 – </w:t>
      </w:r>
      <w:r>
        <w:rPr>
          <w:rFonts w:ascii="Arial" w:hAnsi="Arial" w:cs="Arial"/>
          <w:color w:val="333333"/>
          <w:sz w:val="18"/>
          <w:szCs w:val="18"/>
        </w:rPr>
        <w:t>(1) Desteklenmeye değer bulunan projenin yürütücüsü, birisi ıslak imzalı olmak üzere iki kopya olarak hazırladığı dönemsel Ödenek Talep Formunu takip eden dönemin sonuna kadar Genel Müdürlüğe sunar. Aksi durumda söz konusu dönemde ilgili değerlendirme ve ödeme yapılmaz. Ödenek talep dönemleri San-Tez Proje Başvuru Dokümanında tanımlanır.</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 xml:space="preserve">Gider belgelerinin tarihi </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 xml:space="preserve">MADDE 17 – </w:t>
      </w:r>
      <w:r>
        <w:rPr>
          <w:rFonts w:ascii="Arial" w:hAnsi="Arial" w:cs="Arial"/>
          <w:color w:val="333333"/>
          <w:sz w:val="18"/>
          <w:szCs w:val="18"/>
        </w:rPr>
        <w:t>(1) Ödenek talep dönemi içinde beyan edilen harcama ve gider belgelerinin düzenleme tarihleri, desteklenme kararı verilen tarihten üç ay öncesi ile sözleşmede belirtilen proje bitim tarihine kadar olan süreyi kapsar.</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 xml:space="preserve">(2) Söz konusu belgeye ait destekleme, belgenin beyan edildiği dönemde belgenin düzenlendiği tarihteki harcama tutarı üzerinden yapılır. </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 xml:space="preserve">(3) Ancak, fiilen başlatılmış olup, San-Tez kapsamında desteklenmeye başlanan projelerde ise sözleşme tarihinden en fazla üç ay öncesine ait harcamalar kabul edilir. Bu tarihten öncesine geri dönülmez. </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(4) Proje tamamlandıktan sonra ödenmemiş belgelerin ibrazı halinde, belgelerin düzenlenme tarihi proje dönemi içerisinde kalması kaydıyla ödeme, proje bitimini takip eden dönemde yapılır.</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 xml:space="preserve">Gider belgeleri </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 xml:space="preserve">MADDE 18 – </w:t>
      </w:r>
      <w:r>
        <w:rPr>
          <w:rFonts w:ascii="Arial" w:hAnsi="Arial" w:cs="Arial"/>
          <w:color w:val="333333"/>
          <w:sz w:val="18"/>
          <w:szCs w:val="18"/>
        </w:rPr>
        <w:t>(1) Proje kapsamında satın alınan mal ve hizmetlere ait geçerli gider belgeleri ödenek talep dönemleri itibariyle proje yürütücüsü tarafından Genel Müdürlüğe sunulur.</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Ödenek talebi değerlendirme süresi</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lastRenderedPageBreak/>
        <w:t xml:space="preserve">MADDE 19 – </w:t>
      </w:r>
      <w:r>
        <w:rPr>
          <w:rFonts w:ascii="Arial" w:hAnsi="Arial" w:cs="Arial"/>
          <w:color w:val="333333"/>
          <w:sz w:val="18"/>
          <w:szCs w:val="18"/>
        </w:rPr>
        <w:t>(1) Dönemsel ödemeler için verilen ödenek talep formu ile ilgili inceleme en fazla üç ayda sonuçlandırılır. Bu süre, ödenek talep formunun Genel Müdürlüğe sunulduğu tarihte başlar.</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İzleme</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 xml:space="preserve">MADDE 20 – </w:t>
      </w:r>
      <w:r>
        <w:rPr>
          <w:rFonts w:ascii="Arial" w:hAnsi="Arial" w:cs="Arial"/>
          <w:color w:val="333333"/>
          <w:sz w:val="18"/>
          <w:szCs w:val="18"/>
        </w:rPr>
        <w:t>(1) Gerçekleşen dönemlere ait ödenek talep formları ve dönem raporları izleyici/uzman tarafından değerlendirilerek izleme raporu düzenlenir.</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(2) Gerek duyulması halinde, Genel Müdürlük yerinde incelemelerde bulunmak üzere uzmanlarını ve/veya izleyiciyi ilgili kuruluşa gönderebilir.</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Değişiklik bildirimi ve onay süreci</w:t>
      </w:r>
    </w:p>
    <w:p w:rsidR="00516B0E" w:rsidRDefault="00516B0E" w:rsidP="00516B0E">
      <w:pPr>
        <w:pStyle w:val="NormalWeb"/>
        <w:jc w:val="both"/>
        <w:rPr>
          <w:rFonts w:ascii="Calibri" w:hAnsi="Calibri" w:cs="Segoe UI"/>
          <w:color w:val="000000"/>
          <w:sz w:val="14"/>
          <w:szCs w:val="14"/>
        </w:rPr>
      </w:pPr>
      <w:proofErr w:type="gramStart"/>
      <w:r>
        <w:rPr>
          <w:rStyle w:val="Gl"/>
          <w:rFonts w:ascii="Arial" w:hAnsi="Arial" w:cs="Arial"/>
          <w:color w:val="333333"/>
          <w:sz w:val="18"/>
          <w:szCs w:val="18"/>
        </w:rPr>
        <w:t xml:space="preserve">MADDE 21 – </w:t>
      </w:r>
      <w:r>
        <w:rPr>
          <w:rFonts w:ascii="Arial" w:hAnsi="Arial" w:cs="Arial"/>
          <w:color w:val="333333"/>
          <w:sz w:val="18"/>
          <w:szCs w:val="18"/>
        </w:rPr>
        <w:t xml:space="preserve">(1) Proje yürütücüsü projede yapılacak; proje kapsamının daraltılması veya genişletilmesi, proje önerisinde öngörülemeyen makine-donanım, yazılım gibi kalemlerdeki değişiklikler, proje personelinde meydana gelecek değişiklikler, kuruluş tüzel kişiliğindeki değişiklikler gibi projenin kapsamını, süresini, bütçesini ve idari yapısını değiştirecek konular ile proje süresi içerisinde alınan donanımın proje süresince çok zorunlu hallerde bakım ve onarımına yönelik giderlerin proje bütçesi içinde karşılanması ile ilgili talebini gerekçeli olarak Genel Müdürlüğe bildirir. </w:t>
      </w:r>
      <w:proofErr w:type="gramEnd"/>
      <w:r>
        <w:rPr>
          <w:rFonts w:ascii="Arial" w:hAnsi="Arial" w:cs="Arial"/>
          <w:color w:val="333333"/>
          <w:sz w:val="18"/>
          <w:szCs w:val="18"/>
        </w:rPr>
        <w:t>Değişiklikler San-Tez izleme komisyonu tarafından karara bağlanır.</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Ödeme işlemleri</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 xml:space="preserve">MADDE 22 – </w:t>
      </w:r>
      <w:r>
        <w:rPr>
          <w:rFonts w:ascii="Arial" w:hAnsi="Arial" w:cs="Arial"/>
          <w:color w:val="333333"/>
          <w:sz w:val="18"/>
          <w:szCs w:val="18"/>
        </w:rPr>
        <w:t xml:space="preserve">(1) Dönemler itibarı ile sunulan gider belgelerinin bu Yönetmelik ve sözleşme hükümlerine uygunluğu Genel Müdürlük tarafından incelendikten sonra, uygun bulunan dönem giderlerinin sözleşmede belirtilen Bakanlık destek oranına tekabül eden miktarı, Bakanlık tarafından ilgili projeye ödenir. </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Satın alma ve mülkiyet</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 xml:space="preserve">MADDE 23 – </w:t>
      </w:r>
      <w:r>
        <w:rPr>
          <w:rFonts w:ascii="Arial" w:hAnsi="Arial" w:cs="Arial"/>
          <w:color w:val="333333"/>
          <w:sz w:val="18"/>
          <w:szCs w:val="18"/>
        </w:rPr>
        <w:t xml:space="preserve">(1) Desteklenen proje kapsamında yapılacak satın almalar, ilgili üniversitenin satın almaya ilişkin tabi olduğu mevzuat çerçevesinde gerçekleştirilir. </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(2) Proje kapsamında satın alınan makine ve donanım, proje süresince proje yürütücüsünün gözetimi ve sorumluluğu altındadır. Söz konusu makine ve donanımın projenin tamamlanmasından sonraki kullanım esasları, taraflarla yapılacak proje sözleşmesinde Bakanlık tarafından belirlenir.</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Mali inceleme ve denetim</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lastRenderedPageBreak/>
        <w:t xml:space="preserve">MADDE 24 – </w:t>
      </w:r>
      <w:r>
        <w:rPr>
          <w:rFonts w:ascii="Arial" w:hAnsi="Arial" w:cs="Arial"/>
          <w:color w:val="333333"/>
          <w:sz w:val="18"/>
          <w:szCs w:val="18"/>
        </w:rPr>
        <w:t xml:space="preserve">(1) İlgili üniversitede yürütülen San-Tez projeleri kapsamında yapılan gider belgeleri ödeme dönemlerinde, üniversitenin ilgili enstitüsünde toplanır ve ilgili enstitü tarafından onaylanan ödeme talep formu ve eki gider belgeleri Genel Müdürlüğe gönderilir. </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Son dönem ödenek talebi</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 xml:space="preserve">MADDE 25 – </w:t>
      </w:r>
      <w:r>
        <w:rPr>
          <w:rFonts w:ascii="Arial" w:hAnsi="Arial" w:cs="Arial"/>
          <w:color w:val="333333"/>
          <w:sz w:val="18"/>
          <w:szCs w:val="18"/>
        </w:rPr>
        <w:t>(1) Projenin son dönem ödenek talep formu ve proje sonuç raporu birlikte hazırlanarak sunulmalıdır. Aksi takdirde son döneme ait değerlendirme sonuçlandırılmaz.</w:t>
      </w:r>
    </w:p>
    <w:p w:rsidR="00516B0E" w:rsidRDefault="00516B0E" w:rsidP="00516B0E">
      <w:pPr>
        <w:pStyle w:val="NormalWeb"/>
        <w:jc w:val="center"/>
        <w:rPr>
          <w:rFonts w:ascii="Calibri" w:hAnsi="Calibri" w:cs="Segoe UI"/>
          <w:color w:val="000000"/>
          <w:sz w:val="14"/>
          <w:szCs w:val="14"/>
        </w:rPr>
      </w:pPr>
      <w:r>
        <w:rPr>
          <w:rStyle w:val="Gl"/>
          <w:rFonts w:ascii="Arial" w:hAnsi="Arial" w:cs="Arial"/>
          <w:color w:val="333333"/>
          <w:sz w:val="18"/>
          <w:szCs w:val="18"/>
        </w:rPr>
        <w:t xml:space="preserve">BEŞİNCİ BÖLÜM </w:t>
      </w:r>
    </w:p>
    <w:p w:rsidR="00516B0E" w:rsidRDefault="00516B0E" w:rsidP="00516B0E">
      <w:pPr>
        <w:pStyle w:val="NormalWeb"/>
        <w:jc w:val="center"/>
        <w:rPr>
          <w:rFonts w:ascii="Calibri" w:hAnsi="Calibri" w:cs="Segoe UI"/>
          <w:color w:val="000000"/>
          <w:sz w:val="14"/>
          <w:szCs w:val="14"/>
        </w:rPr>
      </w:pPr>
      <w:r>
        <w:rPr>
          <w:rStyle w:val="Gl"/>
          <w:rFonts w:ascii="Arial" w:hAnsi="Arial" w:cs="Arial"/>
          <w:color w:val="333333"/>
          <w:sz w:val="18"/>
          <w:szCs w:val="18"/>
        </w:rPr>
        <w:t>Çeşitli ve Son Hükümler</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Projenin durdurulması, yürürlükten kaldırılması ve iptali</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 xml:space="preserve">MADDE 26 – </w:t>
      </w:r>
      <w:r>
        <w:rPr>
          <w:rFonts w:ascii="Arial" w:hAnsi="Arial" w:cs="Arial"/>
          <w:color w:val="333333"/>
          <w:sz w:val="18"/>
          <w:szCs w:val="18"/>
        </w:rPr>
        <w:t>(1) Yerinde yapılan izleyici/uzman değerlendirmesi sonucunda, öngörülen amaç ve çalışma programına uygun biçimde yürütülmediği anlaşılan projeler ile mücbir nedenlerle yürütülmeleri geçici olarak olanaksız hale gelen projeler, proje izleyicisinin veya kuruluşun başvurusu üzerine Genel Müdürlük tarafından geçici olarak durdurulabilir. Geçici durdurma kararında projenin ne kadar süre için durdurulduğu belirtilir ve destek süresi proje tekrar başladığında durdurulan süre kadar uzatılabilir.</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(2) Geçici durdurma süresi en fazla altı aydır. Durdurma sebeplerinin devamlılık arz edeceğinin tespiti halinde Genel Müdürlük tarafından proje sözleşmesinin tek taraflı olarak feshedilmesine karar verilir.</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(3) Geçici durdurma süresi bittiği halde Proje Yürütücüsü tarafından sonraki dönem için Genel Müdürlüğe başvuruda bulunulmaması halinde proje kendiliğinden iptal edilmiş sayılır. Bu konuyla ilgili hükümler, proje ortakları ile yapılacak sözleşmede belirlenir.</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Proje değerlendirme grubu üyelerine ödenecek ücretler</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 xml:space="preserve">MADDE 27 – </w:t>
      </w:r>
      <w:r>
        <w:rPr>
          <w:rFonts w:ascii="Arial" w:hAnsi="Arial" w:cs="Arial"/>
          <w:color w:val="333333"/>
          <w:sz w:val="18"/>
          <w:szCs w:val="18"/>
        </w:rPr>
        <w:t>(1) Proje değerlendirme panellerinde görev alacak üniversite öğretim elemanlarının ücretleri 2547 sayılı YÖK Kanununun 38 inci maddesi çerçevesinde belirlenir.</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(2) Panellerde görev alan ve uhdesinde kamu görevi bulunmayan sanayi temsilcilerinin ücretleri ise öğretim elemanlarına verilecek ücreti aşmayacak şekilde her yıl Bakanlık tarafından belirlenir.</w:t>
      </w:r>
    </w:p>
    <w:p w:rsidR="00516B0E" w:rsidRDefault="00516B0E" w:rsidP="00516B0E">
      <w:pPr>
        <w:pStyle w:val="NormalWeb"/>
        <w:jc w:val="both"/>
        <w:rPr>
          <w:rStyle w:val="Gl"/>
          <w:rFonts w:ascii="Arial" w:hAnsi="Arial" w:cs="Arial"/>
          <w:color w:val="333333"/>
          <w:sz w:val="18"/>
          <w:szCs w:val="18"/>
        </w:rPr>
      </w:pPr>
    </w:p>
    <w:p w:rsidR="00516B0E" w:rsidRDefault="00516B0E" w:rsidP="00516B0E">
      <w:pPr>
        <w:pStyle w:val="NormalWeb"/>
        <w:jc w:val="both"/>
        <w:rPr>
          <w:rStyle w:val="Gl"/>
          <w:rFonts w:ascii="Arial" w:hAnsi="Arial" w:cs="Arial"/>
          <w:color w:val="333333"/>
          <w:sz w:val="18"/>
          <w:szCs w:val="18"/>
        </w:rPr>
      </w:pP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lastRenderedPageBreak/>
        <w:t>Belgelerin saklanması</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 xml:space="preserve">MADDE 28 – </w:t>
      </w:r>
      <w:r>
        <w:rPr>
          <w:rFonts w:ascii="Arial" w:hAnsi="Arial" w:cs="Arial"/>
          <w:color w:val="333333"/>
          <w:sz w:val="18"/>
          <w:szCs w:val="18"/>
        </w:rPr>
        <w:t xml:space="preserve">(1) Projelerle ilgili her türlü gelirlere ilişkin belgelerin asılları ile harcama ve giderlere ilişkin belgelerin suretleri, Genel Müdürlük tarafından ilgili mevzuata göre muhafaza edilir. </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Gizlilik</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 xml:space="preserve">MADDE 29 – </w:t>
      </w:r>
      <w:r>
        <w:rPr>
          <w:rFonts w:ascii="Arial" w:hAnsi="Arial" w:cs="Arial"/>
          <w:color w:val="333333"/>
          <w:sz w:val="18"/>
          <w:szCs w:val="18"/>
        </w:rPr>
        <w:t xml:space="preserve">(1) Proje ortakları, proje değerlendirme grubu üyeleri, izleyicilerden gizliliğe uyulması konusunda taahhütname alınır. Tüm bilgi ve belgeler kuruluşa ait korunacak ticari gizli bilgi olarak kabul edilir ve üçüncü kişilere herhangi bir yolla aktarılamaz. </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(2) Proje sürecinde yer alan tüm ilgililer bu gizliliğin ihlalinden sorumludur. Proje ile ilgili gizli bir bilginin açıklanması halinde bu açıklamayı yapan hakkında, 5846 sayılı Fikir ve Sanat Eserleri Kanunu çerçevesinde gereken işlemler başlatılır.</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 xml:space="preserve">Fikri ve sınaî mülkiyet hakları </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 xml:space="preserve">MADDE 30 – </w:t>
      </w:r>
      <w:r>
        <w:rPr>
          <w:rFonts w:ascii="Arial" w:hAnsi="Arial" w:cs="Arial"/>
          <w:color w:val="333333"/>
          <w:sz w:val="18"/>
          <w:szCs w:val="18"/>
        </w:rPr>
        <w:t xml:space="preserve">(1) Bakanlık tarafından desteklenen projelerin gerçekleştirilmesi sırasında ortaya çıkan her türlü fikri ve </w:t>
      </w:r>
      <w:proofErr w:type="gramStart"/>
      <w:r>
        <w:rPr>
          <w:rFonts w:ascii="Arial" w:hAnsi="Arial" w:cs="Arial"/>
          <w:color w:val="333333"/>
          <w:sz w:val="18"/>
          <w:szCs w:val="18"/>
        </w:rPr>
        <w:t>sınai</w:t>
      </w:r>
      <w:proofErr w:type="gramEnd"/>
      <w:r>
        <w:rPr>
          <w:rFonts w:ascii="Arial" w:hAnsi="Arial" w:cs="Arial"/>
          <w:color w:val="333333"/>
          <w:sz w:val="18"/>
          <w:szCs w:val="18"/>
        </w:rPr>
        <w:t xml:space="preserve"> mülkiyet haklarının paylaşımı, proje ortakları arasında sözleşme öncesi yapılacak bir anlaşma ile belirlenir.</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(2) Proje yürütücüleri, Bakanlık desteğini belirtmek şartıyla, yurtiçinde veya yurtdışında araştırma ile ilgili makale yayımlayabilir ve tebliğ sunabilir. Yayımlanmak üzere kabul edilen makalelerle, sunulan tebliğlerin bir örneğinin Genel Müdürlüğe gönderilmesi zorunludur. Gizlilik gerektiren hallerde, koşullara uyulması yayın yapanların sorumluğundadır.</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Teknik ve mali kılavuz</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 xml:space="preserve">MADDE 31 – </w:t>
      </w:r>
      <w:r>
        <w:rPr>
          <w:rFonts w:ascii="Arial" w:hAnsi="Arial" w:cs="Arial"/>
          <w:color w:val="333333"/>
          <w:sz w:val="18"/>
          <w:szCs w:val="18"/>
        </w:rPr>
        <w:t>(1) Bu Yönetmeliğin uygulamasına yönelik kurallar, destek mekanizmalarının oluşturulması ve işleyişine yönelik Teknik ve Mali Kılavuz Genel Müdürlük tarafından hazırlanır ve yayımlanır.</w:t>
      </w:r>
    </w:p>
    <w:p w:rsidR="00516B0E" w:rsidRDefault="00516B0E" w:rsidP="00516B0E">
      <w:pPr>
        <w:pStyle w:val="NormalWeb"/>
        <w:jc w:val="both"/>
        <w:rPr>
          <w:rFonts w:ascii="Calibri" w:hAnsi="Calibri" w:cs="Segoe UI"/>
          <w:color w:val="000000"/>
          <w:sz w:val="14"/>
          <w:szCs w:val="14"/>
        </w:rPr>
      </w:pPr>
      <w:r>
        <w:rPr>
          <w:rFonts w:ascii="Arial" w:hAnsi="Arial" w:cs="Arial"/>
          <w:color w:val="333333"/>
          <w:sz w:val="18"/>
          <w:szCs w:val="18"/>
        </w:rPr>
        <w:t>(2) Bu Yönetmeliğin uygulanmasına yönelik kurallar, destek mekanizmalarının oluşturulması ve işleyişine ilişkin usul ve esaslar Genel Müdürlük tarafından hazırlanacak Teknik ve Mali Kılavuz ile belirlenir.</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Proje sonuçlarının değerlendirilmesi</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 xml:space="preserve">MADDE 32 – </w:t>
      </w:r>
      <w:r>
        <w:rPr>
          <w:rFonts w:ascii="Arial" w:hAnsi="Arial" w:cs="Arial"/>
          <w:color w:val="333333"/>
          <w:sz w:val="18"/>
          <w:szCs w:val="18"/>
        </w:rPr>
        <w:t xml:space="preserve">(1) Bu Yönetmelik kapsamında amaca uygun olarak tamamlanmış proje sonuçlarının ekonomik, mali ve teknik açıdan değerlendirilmesi Genel Müdürlük tarafından yapılır. </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lastRenderedPageBreak/>
        <w:t>Yürürlük</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 xml:space="preserve">MADDE 33 – </w:t>
      </w:r>
      <w:r>
        <w:rPr>
          <w:rFonts w:ascii="Arial" w:hAnsi="Arial" w:cs="Arial"/>
          <w:color w:val="333333"/>
          <w:sz w:val="18"/>
          <w:szCs w:val="18"/>
        </w:rPr>
        <w:t>(1) Bu Yönetmelik yayımı tarihinde yürürlüğe girer.</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333333"/>
          <w:sz w:val="18"/>
          <w:szCs w:val="18"/>
        </w:rPr>
        <w:t>Yürütme</w:t>
      </w:r>
    </w:p>
    <w:p w:rsidR="00516B0E" w:rsidRDefault="00516B0E" w:rsidP="00516B0E">
      <w:pPr>
        <w:pStyle w:val="NormalWeb"/>
        <w:jc w:val="both"/>
        <w:rPr>
          <w:rFonts w:ascii="Calibri" w:hAnsi="Calibri" w:cs="Segoe UI"/>
          <w:color w:val="000000"/>
          <w:sz w:val="14"/>
          <w:szCs w:val="14"/>
        </w:rPr>
      </w:pPr>
      <w:r>
        <w:rPr>
          <w:rStyle w:val="Gl"/>
          <w:rFonts w:ascii="Arial" w:hAnsi="Arial" w:cs="Arial"/>
          <w:color w:val="000000"/>
          <w:sz w:val="18"/>
          <w:szCs w:val="18"/>
        </w:rPr>
        <w:t xml:space="preserve">MADDE 34 – </w:t>
      </w:r>
      <w:r>
        <w:rPr>
          <w:rFonts w:ascii="Arial" w:hAnsi="Arial" w:cs="Arial"/>
          <w:color w:val="000000"/>
          <w:sz w:val="18"/>
          <w:szCs w:val="18"/>
        </w:rPr>
        <w:t>(1) Bu Yönetmelik hükümlerini Sanayi ve Ticaret Bakanı yürütür.</w:t>
      </w:r>
    </w:p>
    <w:p w:rsidR="0073716A" w:rsidRDefault="0073716A"/>
    <w:sectPr w:rsidR="0073716A" w:rsidSect="007371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516B0E"/>
    <w:rsid w:val="00370D3A"/>
    <w:rsid w:val="00516B0E"/>
    <w:rsid w:val="007371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pPr>
        <w:spacing w:after="100" w:afterAutospacing="1"/>
        <w:ind w:left="1077" w:hanging="357"/>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16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16B0E"/>
    <w:rPr>
      <w:color w:val="034AF3"/>
      <w:u w:val="single"/>
    </w:rPr>
  </w:style>
  <w:style w:type="paragraph" w:styleId="NormalWeb">
    <w:name w:val="Normal (Web)"/>
    <w:basedOn w:val="Normal"/>
    <w:uiPriority w:val="99"/>
    <w:unhideWhenUsed/>
    <w:rsid w:val="00516B0E"/>
    <w:pPr>
      <w:spacing w:before="100" w:beforeAutospacing="1" w:after="150" w:afterAutospacing="0" w:line="384" w:lineRule="atLeast"/>
      <w:ind w:left="0" w:firstLine="0"/>
      <w:jc w:val="left"/>
    </w:pPr>
  </w:style>
  <w:style w:type="character" w:styleId="Gl">
    <w:name w:val="Strong"/>
    <w:basedOn w:val="VarsaylanParagrafYazTipi"/>
    <w:uiPriority w:val="22"/>
    <w:qFormat/>
    <w:rsid w:val="00516B0E"/>
    <w:rPr>
      <w:b/>
      <w:bCs/>
    </w:rPr>
  </w:style>
  <w:style w:type="character" w:customStyle="1" w:styleId="spelle">
    <w:name w:val="spelle"/>
    <w:basedOn w:val="VarsaylanParagrafYazTipi"/>
    <w:rsid w:val="00516B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nayi.gov.tr/webedit/gozlem.aspx?sayfaNo=3093"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3008</Words>
  <Characters>17146</Characters>
  <Application>Microsoft Office Word</Application>
  <DocSecurity>0</DocSecurity>
  <Lines>142</Lines>
  <Paragraphs>40</Paragraphs>
  <ScaleCrop>false</ScaleCrop>
  <Company/>
  <LinksUpToDate>false</LinksUpToDate>
  <CharactersWithSpaces>20114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YUSUFOVA</dc:creator>
  <cp:lastModifiedBy>YUSUFOVA</cp:lastModifiedBy>
  <cp:revision>1</cp:revision>
  <dcterms:created xsi:type="dcterms:W3CDTF">2013-07-31T13:20:00Z</dcterms:created>
  <dcterms:modified xsi:type="dcterms:W3CDTF">2013-07-31T13:21:00Z</dcterms:modified>
</cp:coreProperties>
</file>